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№ 1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управляющего совета муниципальной программы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«Переселение граждан из аварийного жилищного фонда, признанного таковым в период с 1 января 2017 года до 1 января 2022 года, в Копейском городском округе»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r>
        <w:rPr>
          <w:sz w:val="28"/>
          <w:szCs w:val="28"/>
        </w:rPr>
        <w:t xml:space="preserve">г. Копейск                                                                                 </w:t>
      </w:r>
      <w:r>
        <w:rPr>
          <w:sz w:val="28"/>
          <w:szCs w:val="28"/>
        </w:rPr>
        <w:t xml:space="preserve">   «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» ______</w:t>
      </w:r>
      <w:bookmarkStart w:id="0" w:name="_GoBack"/>
      <w:r/>
      <w:bookmarkEnd w:id="0"/>
      <w:r>
        <w:rPr>
          <w:sz w:val="28"/>
          <w:szCs w:val="28"/>
        </w:rPr>
        <w:t xml:space="preserve"> 2024 г.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ab/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1"/>
        <w:gridCol w:w="6238"/>
      </w:tblGrid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управляющего совета: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Сазонов Н.В.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городского округа.  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управляющего совета: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Буркова Ж.А.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pStyle w:val="815"/>
              <w:ind w:right="-113" w:firstLine="0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 по имуществу и </w:t>
            </w:r>
            <w:r>
              <w:rPr>
                <w:sz w:val="28"/>
                <w:szCs w:val="28"/>
              </w:rPr>
            </w:r>
            <w:r/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0" w:name="undefined"/>
            <w:r>
              <w:rPr>
                <w:sz w:val="28"/>
                <w:szCs w:val="28"/>
              </w:rPr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земельным отношениям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Ланге</w:t>
            </w:r>
            <w:r>
              <w:rPr>
                <w:sz w:val="28"/>
                <w:szCs w:val="28"/>
              </w:rPr>
              <w:t xml:space="preserve"> О.Н.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экономического развития администрации </w:t>
            </w:r>
            <w:r>
              <w:rPr>
                <w:sz w:val="28"/>
                <w:szCs w:val="28"/>
              </w:rPr>
              <w:t xml:space="preserve">Копейского</w:t>
            </w:r>
            <w:r>
              <w:rPr>
                <w:sz w:val="28"/>
                <w:szCs w:val="28"/>
              </w:rPr>
              <w:t xml:space="preserve"> городского округа;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Рамих</w:t>
            </w:r>
            <w:r>
              <w:rPr>
                <w:sz w:val="28"/>
                <w:szCs w:val="28"/>
              </w:rPr>
              <w:t xml:space="preserve"> Ю.А.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администрации </w:t>
            </w:r>
            <w:r>
              <w:rPr>
                <w:sz w:val="28"/>
                <w:szCs w:val="28"/>
              </w:rPr>
              <w:t xml:space="preserve">Копейского</w:t>
            </w:r>
            <w:r>
              <w:rPr>
                <w:sz w:val="28"/>
                <w:szCs w:val="28"/>
              </w:rPr>
              <w:t xml:space="preserve"> городского округа;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Шилина И.Г.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архитектуры и градостроительства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Разинкин М.В.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vMerge w:val="restart"/>
            <w:textDirection w:val="lrTb"/>
            <w:noWrap w:val="false"/>
          </w:tcPr>
          <w:p>
            <w:pPr>
              <w:jc w:val="both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муниципального учреждения 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строительства»;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3401" w:type="dxa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Саевская И.Д.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6237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ru-RU"/>
              </w:rPr>
              <w:t xml:space="preserve">Начальник отдела жилищной политики.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ДНЯ: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6"/>
      </w:pPr>
      <w:r>
        <w:rPr>
          <w:sz w:val="28"/>
          <w:szCs w:val="28"/>
        </w:rPr>
        <w:tab/>
        <w:t xml:space="preserve">Рассмотрение и утверждение структурных элементов муниципальной программы «</w:t>
      </w:r>
      <w:r>
        <w:rPr>
          <w:sz w:val="28"/>
          <w:szCs w:val="28"/>
        </w:rPr>
        <w:t xml:space="preserve">Переселение граждан из аварийного жилищного фонда, признанного таковым в период с 1 января 2017 года до 1 января 2022 года, в Копейском городском округе</w:t>
      </w:r>
      <w:r>
        <w:rPr>
          <w:sz w:val="28"/>
          <w:szCs w:val="28"/>
        </w:rPr>
        <w:t xml:space="preserve">» (далее – муниципальная программа).</w:t>
      </w:r>
      <w:r>
        <w:rPr>
          <w:sz w:val="28"/>
          <w:szCs w:val="28"/>
        </w:rPr>
        <w:tab/>
      </w:r>
      <w:r/>
    </w:p>
    <w:p>
      <w:pPr>
        <w:pStyle w:val="846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РЕШЕНИЕ:</w:t>
      </w:r>
      <w:r/>
    </w:p>
    <w:p>
      <w:pPr>
        <w:pStyle w:val="846"/>
        <w:numPr>
          <w:ilvl w:val="0"/>
          <w:numId w:val="2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Утвердить структуру муниципальной программы,</w:t>
      </w:r>
      <w:r>
        <w:rPr>
          <w:sz w:val="28"/>
          <w:szCs w:val="28"/>
        </w:rPr>
        <w:t xml:space="preserve"> состоящей из комплекса процессных мероприятий ««</w:t>
      </w:r>
      <w:r>
        <w:rPr>
          <w:sz w:val="28"/>
          <w:szCs w:val="28"/>
        </w:rPr>
        <w:t xml:space="preserve">Переселение граждан из аварийного жилищного фонда, признанного таковым в период с 1 января 2017 года                          до 1 января 2022 года, в Копейском городском округе</w:t>
      </w:r>
      <w:r>
        <w:rPr>
          <w:sz w:val="28"/>
          <w:szCs w:val="28"/>
        </w:rPr>
        <w:t xml:space="preserve">». </w:t>
      </w:r>
      <w:r/>
    </w:p>
    <w:p>
      <w:pPr>
        <w:pStyle w:val="846"/>
        <w:numPr>
          <w:ilvl w:val="0"/>
          <w:numId w:val="2"/>
        </w:numPr>
        <w:ind w:left="0"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Утвердить паспорт комплекса процессных мероприятий «</w:t>
      </w:r>
      <w:r>
        <w:rPr>
          <w:sz w:val="28"/>
          <w:szCs w:val="28"/>
        </w:rPr>
        <w:t xml:space="preserve">Переселение граждан из аварийного жилищного фонда, признанного таковым в период                   с 1 января 2017 года до 1 января 2022 года, в Копейском городском округе</w:t>
      </w:r>
      <w:r>
        <w:rPr>
          <w:sz w:val="28"/>
          <w:szCs w:val="28"/>
        </w:rPr>
        <w:t xml:space="preserve">».</w:t>
      </w:r>
      <w:r/>
    </w:p>
    <w:p>
      <w:pPr>
        <w:pStyle w:val="846"/>
        <w:ind w:firstLine="709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/>
    </w:p>
    <w:p>
      <w:pPr>
        <w:pStyle w:val="846"/>
      </w:pPr>
      <w:r>
        <w:rPr>
          <w:sz w:val="28"/>
          <w:szCs w:val="28"/>
        </w:rPr>
        <w:t xml:space="preserve">Председатель управляющего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Н.В. Сазонов</w:t>
      </w: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Segoe UI">
    <w:panose1 w:val="020B0502040204020203"/>
  </w:font>
  <w:font w:name="Noto Sans Devanagari;Times New">
    <w:panose1 w:val="020B0502040504020204"/>
  </w:font>
  <w:font w:name="PT Astra Serif;Times New Roman">
    <w:panose1 w:val="020A0603040505020204"/>
  </w:font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Droid Sans Fallback">
    <w:panose1 w:val="05050102010205020202"/>
  </w:font>
  <w:font w:name="Courier New">
    <w:panose1 w:val="02070309020205020404"/>
  </w:font>
  <w:font w:name="Lohit Devanagari">
    <w:panose1 w:val="05050102010205020202"/>
  </w:font>
  <w:font w:name="Tahoma">
    <w:panose1 w:val="020B0604030504040204"/>
  </w:font>
  <w:font w:name="Tempora LGC Uni">
    <w:panose1 w:val="05050102010205020202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firstLine="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none"/>
      <w:pStyle w:val="81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81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empora LGC Uni" w:hAnsi="Tempora LGC Uni" w:eastAsia="Droid Sans Fallback" w:cs="Lohit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2">
    <w:name w:val="Heading 1 Char"/>
    <w:basedOn w:val="818"/>
    <w:link w:val="816"/>
    <w:uiPriority w:val="9"/>
    <w:rPr>
      <w:rFonts w:ascii="Arial" w:hAnsi="Arial" w:eastAsia="Arial" w:cs="Arial"/>
      <w:sz w:val="40"/>
      <w:szCs w:val="40"/>
    </w:rPr>
  </w:style>
  <w:style w:type="character" w:styleId="643">
    <w:name w:val="Heading 2 Char"/>
    <w:basedOn w:val="818"/>
    <w:link w:val="817"/>
    <w:uiPriority w:val="9"/>
    <w:rPr>
      <w:rFonts w:ascii="Arial" w:hAnsi="Arial" w:eastAsia="Arial" w:cs="Arial"/>
      <w:sz w:val="34"/>
    </w:rPr>
  </w:style>
  <w:style w:type="paragraph" w:styleId="644">
    <w:name w:val="Heading 3"/>
    <w:basedOn w:val="815"/>
    <w:next w:val="815"/>
    <w:link w:val="6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5">
    <w:name w:val="Heading 3 Char"/>
    <w:basedOn w:val="818"/>
    <w:link w:val="644"/>
    <w:uiPriority w:val="9"/>
    <w:rPr>
      <w:rFonts w:ascii="Arial" w:hAnsi="Arial" w:eastAsia="Arial" w:cs="Arial"/>
      <w:sz w:val="30"/>
      <w:szCs w:val="30"/>
    </w:rPr>
  </w:style>
  <w:style w:type="paragraph" w:styleId="646">
    <w:name w:val="Heading 4"/>
    <w:basedOn w:val="815"/>
    <w:next w:val="815"/>
    <w:link w:val="6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7">
    <w:name w:val="Heading 4 Char"/>
    <w:basedOn w:val="818"/>
    <w:link w:val="646"/>
    <w:uiPriority w:val="9"/>
    <w:rPr>
      <w:rFonts w:ascii="Arial" w:hAnsi="Arial" w:eastAsia="Arial" w:cs="Arial"/>
      <w:b/>
      <w:bCs/>
      <w:sz w:val="26"/>
      <w:szCs w:val="26"/>
    </w:rPr>
  </w:style>
  <w:style w:type="paragraph" w:styleId="648">
    <w:name w:val="Heading 5"/>
    <w:basedOn w:val="815"/>
    <w:next w:val="815"/>
    <w:link w:val="6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9">
    <w:name w:val="Heading 5 Char"/>
    <w:basedOn w:val="818"/>
    <w:link w:val="648"/>
    <w:uiPriority w:val="9"/>
    <w:rPr>
      <w:rFonts w:ascii="Arial" w:hAnsi="Arial" w:eastAsia="Arial" w:cs="Arial"/>
      <w:b/>
      <w:bCs/>
      <w:sz w:val="24"/>
      <w:szCs w:val="24"/>
    </w:rPr>
  </w:style>
  <w:style w:type="paragraph" w:styleId="650">
    <w:name w:val="Heading 6"/>
    <w:basedOn w:val="815"/>
    <w:next w:val="815"/>
    <w:link w:val="6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1">
    <w:name w:val="Heading 6 Char"/>
    <w:basedOn w:val="818"/>
    <w:link w:val="650"/>
    <w:uiPriority w:val="9"/>
    <w:rPr>
      <w:rFonts w:ascii="Arial" w:hAnsi="Arial" w:eastAsia="Arial" w:cs="Arial"/>
      <w:b/>
      <w:bCs/>
      <w:sz w:val="22"/>
      <w:szCs w:val="22"/>
    </w:rPr>
  </w:style>
  <w:style w:type="paragraph" w:styleId="652">
    <w:name w:val="Heading 7"/>
    <w:basedOn w:val="815"/>
    <w:next w:val="815"/>
    <w:link w:val="6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3">
    <w:name w:val="Heading 7 Char"/>
    <w:basedOn w:val="818"/>
    <w:link w:val="6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4">
    <w:name w:val="Heading 8"/>
    <w:basedOn w:val="815"/>
    <w:next w:val="815"/>
    <w:link w:val="6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5">
    <w:name w:val="Heading 8 Char"/>
    <w:basedOn w:val="818"/>
    <w:link w:val="654"/>
    <w:uiPriority w:val="9"/>
    <w:rPr>
      <w:rFonts w:ascii="Arial" w:hAnsi="Arial" w:eastAsia="Arial" w:cs="Arial"/>
      <w:i/>
      <w:iCs/>
      <w:sz w:val="22"/>
      <w:szCs w:val="22"/>
    </w:rPr>
  </w:style>
  <w:style w:type="paragraph" w:styleId="656">
    <w:name w:val="Heading 9"/>
    <w:basedOn w:val="815"/>
    <w:next w:val="815"/>
    <w:link w:val="6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7">
    <w:name w:val="Heading 9 Char"/>
    <w:basedOn w:val="818"/>
    <w:link w:val="656"/>
    <w:uiPriority w:val="9"/>
    <w:rPr>
      <w:rFonts w:ascii="Arial" w:hAnsi="Arial" w:eastAsia="Arial" w:cs="Arial"/>
      <w:i/>
      <w:iCs/>
      <w:sz w:val="21"/>
      <w:szCs w:val="21"/>
    </w:rPr>
  </w:style>
  <w:style w:type="paragraph" w:styleId="658">
    <w:name w:val="List Paragraph"/>
    <w:basedOn w:val="815"/>
    <w:uiPriority w:val="34"/>
    <w:qFormat/>
    <w:pPr>
      <w:contextualSpacing/>
      <w:ind w:left="720"/>
    </w:pPr>
  </w:style>
  <w:style w:type="paragraph" w:styleId="659">
    <w:name w:val="No Spacing"/>
    <w:uiPriority w:val="1"/>
    <w:qFormat/>
    <w:pPr>
      <w:spacing w:before="0" w:after="0" w:line="240" w:lineRule="auto"/>
    </w:pPr>
  </w:style>
  <w:style w:type="character" w:styleId="660">
    <w:name w:val="Title Char"/>
    <w:basedOn w:val="818"/>
    <w:link w:val="845"/>
    <w:uiPriority w:val="10"/>
    <w:rPr>
      <w:sz w:val="48"/>
      <w:szCs w:val="48"/>
    </w:rPr>
  </w:style>
  <w:style w:type="paragraph" w:styleId="661">
    <w:name w:val="Subtitle"/>
    <w:basedOn w:val="815"/>
    <w:next w:val="815"/>
    <w:link w:val="662"/>
    <w:uiPriority w:val="11"/>
    <w:qFormat/>
    <w:pPr>
      <w:spacing w:before="200" w:after="200"/>
    </w:pPr>
    <w:rPr>
      <w:sz w:val="24"/>
      <w:szCs w:val="24"/>
    </w:rPr>
  </w:style>
  <w:style w:type="character" w:styleId="662">
    <w:name w:val="Subtitle Char"/>
    <w:basedOn w:val="818"/>
    <w:link w:val="661"/>
    <w:uiPriority w:val="11"/>
    <w:rPr>
      <w:sz w:val="24"/>
      <w:szCs w:val="24"/>
    </w:rPr>
  </w:style>
  <w:style w:type="paragraph" w:styleId="663">
    <w:name w:val="Quote"/>
    <w:basedOn w:val="815"/>
    <w:next w:val="815"/>
    <w:link w:val="664"/>
    <w:uiPriority w:val="29"/>
    <w:qFormat/>
    <w:pPr>
      <w:ind w:left="720" w:right="720"/>
    </w:pPr>
    <w:rPr>
      <w:i/>
    </w:rPr>
  </w:style>
  <w:style w:type="character" w:styleId="664">
    <w:name w:val="Quote Char"/>
    <w:link w:val="663"/>
    <w:uiPriority w:val="29"/>
    <w:rPr>
      <w:i/>
    </w:rPr>
  </w:style>
  <w:style w:type="paragraph" w:styleId="665">
    <w:name w:val="Intense Quote"/>
    <w:basedOn w:val="815"/>
    <w:next w:val="815"/>
    <w:link w:val="6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6">
    <w:name w:val="Intense Quote Char"/>
    <w:link w:val="665"/>
    <w:uiPriority w:val="30"/>
    <w:rPr>
      <w:i/>
    </w:rPr>
  </w:style>
  <w:style w:type="paragraph" w:styleId="667">
    <w:name w:val="Header"/>
    <w:basedOn w:val="815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8">
    <w:name w:val="Header Char"/>
    <w:basedOn w:val="818"/>
    <w:link w:val="667"/>
    <w:uiPriority w:val="99"/>
  </w:style>
  <w:style w:type="paragraph" w:styleId="669">
    <w:name w:val="Footer"/>
    <w:basedOn w:val="815"/>
    <w:link w:val="6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0">
    <w:name w:val="Footer Char"/>
    <w:basedOn w:val="818"/>
    <w:link w:val="669"/>
    <w:uiPriority w:val="99"/>
  </w:style>
  <w:style w:type="character" w:styleId="671">
    <w:name w:val="Caption Char"/>
    <w:basedOn w:val="848"/>
    <w:link w:val="669"/>
    <w:uiPriority w:val="99"/>
  </w:style>
  <w:style w:type="table" w:styleId="672">
    <w:name w:val="Table Grid"/>
    <w:basedOn w:val="8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3">
    <w:name w:val="Table Grid Light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Plain Table 1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2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7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9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1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ebe03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2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3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43c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4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5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6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7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dba" w:themeFill="accent1" w:themeFillTint="34"/>
    </w:tblPr>
    <w:tblStylePr w:type="band1Horz">
      <w:tcPr>
        <w:shd w:val="clear" w:color="ffffff" w:themeColor="accent1" w:themeTint="75" w:fill="79fb64" w:themeFill="accent1" w:themeFillTint="75"/>
      </w:tcPr>
    </w:tblStylePr>
    <w:tblStylePr w:type="band1Vert">
      <w:tcPr>
        <w:shd w:val="clear" w:color="ffffff" w:themeColor="accent1" w:themeTint="75" w:fill="79fb6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ce7fd" w:themeFill="accent2" w:themeFillTint="32"/>
    </w:tblPr>
    <w:tblStylePr w:type="band1Horz">
      <w:tcPr>
        <w:shd w:val="clear" w:color="ffffff" w:themeColor="accent2" w:themeTint="75" w:fill="64c8fb" w:themeFill="accent2" w:themeFillTint="75"/>
      </w:tcPr>
    </w:tblStylePr>
    <w:tblStylePr w:type="band1Vert">
      <w:tcPr>
        <w:shd w:val="clear" w:color="ffffff" w:themeColor="accent2" w:themeTint="75" w:fill="64c8fb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dd2ba" w:themeFill="accent3" w:themeFillTint="34"/>
    </w:tblPr>
    <w:tblStylePr w:type="band1Horz">
      <w:tcPr>
        <w:shd w:val="clear" w:color="ffffff" w:themeColor="accent3" w:themeTint="75" w:fill="fb9964" w:themeFill="accent3" w:themeFillTint="75"/>
      </w:tcPr>
    </w:tblStylePr>
    <w:tblStylePr w:type="band1Vert">
      <w:tcPr>
        <w:shd w:val="clear" w:color="ffffff" w:themeColor="accent3" w:themeTint="75" w:fill="fb9964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</w:style>
  <w:style w:type="table" w:styleId="711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3bafd" w:themeFill="accent4" w:themeFillTint="34"/>
    </w:tblPr>
    <w:tblStylePr w:type="band1Horz">
      <w:tcPr>
        <w:shd w:val="clear" w:color="ffffff" w:themeColor="accent4" w:themeTint="75" w:fill="e464fb" w:themeFill="accent4" w:themeFillTint="75"/>
      </w:tcPr>
    </w:tblStylePr>
    <w:tblStylePr w:type="band1Vert">
      <w:tcPr>
        <w:shd w:val="clear" w:color="ffffff" w:themeColor="accent4" w:themeTint="75" w:fill="e464f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efbf" w:themeFill="accent5" w:themeFillTint="34"/>
    </w:tblPr>
    <w:tblStylePr w:type="band1Horz">
      <w:tcPr>
        <w:shd w:val="clear" w:color="ffffff" w:themeColor="accent5" w:themeTint="75" w:fill="ffdb71" w:themeFill="accent5" w:themeFillTint="75"/>
      </w:tcPr>
    </w:tblStylePr>
    <w:tblStylePr w:type="band1Vert">
      <w:tcPr>
        <w:shd w:val="clear" w:color="ffffff" w:themeColor="accent5" w:themeTint="75" w:fill="ffdb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</w:style>
  <w:style w:type="table" w:styleId="713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ccc" w:themeFill="accent6" w:themeFillTint="34"/>
    </w:tblPr>
    <w:tblStylePr w:type="band1Horz">
      <w:tcPr>
        <w:shd w:val="clear" w:color="ffffff" w:themeColor="accent6" w:themeTint="75" w:fill="ee8f8f" w:themeFill="accent6" w:themeFillTint="75"/>
      </w:tcPr>
    </w:tblStylePr>
    <w:tblStylePr w:type="band1Vert">
      <w:tcPr>
        <w:shd w:val="clear" w:color="ffffff" w:themeColor="accent6" w:themeTint="75" w:fill="ee8f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</w:style>
  <w:style w:type="table" w:styleId="714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5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ebf04" w:themeColor="accent1" w:themeTint="80" w:themeShade="95"/>
      </w:rPr>
    </w:tblStylePr>
    <w:tblStylePr w:type="firstRow">
      <w:rPr>
        <w:b/>
        <w:color w:val="1ebf0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ebf04" w:themeColor="accent1" w:themeTint="80" w:themeShade="95"/>
      </w:rPr>
    </w:tblStylePr>
    <w:tblStylePr w:type="lastRow">
      <w:rPr>
        <w:b/>
        <w:color w:val="1ebf0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6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7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e2201" w:themeColor="accent3" w:themeTint="FE" w:themeShade="95"/>
      </w:rPr>
    </w:tblStylePr>
    <w:tblStylePr w:type="firstRow">
      <w:rPr>
        <w:b/>
        <w:color w:val="5e22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e2201" w:themeColor="accent3" w:themeTint="FE" w:themeShade="95"/>
      </w:rPr>
    </w:tblStylePr>
    <w:tblStylePr w:type="lastRow">
      <w:rPr>
        <w:b/>
        <w:color w:val="5e22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8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9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0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1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ebf04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1ebf04" w:themeColor="accent1" w:themeTint="80" w:themeShade="95"/>
        <w:sz w:val="22"/>
      </w:rPr>
    </w:tblStylePr>
    <w:tblStylePr w:type="firstCol">
      <w:rPr>
        <w:rFonts w:ascii="Arial" w:hAnsi="Arial"/>
        <w:i/>
        <w:color w:val="1ebf0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ebf0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e2201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5e2201" w:themeColor="accent3" w:themeTint="FE" w:themeShade="95"/>
        <w:sz w:val="22"/>
      </w:rPr>
    </w:tblStylePr>
    <w:tblStylePr w:type="firstCol">
      <w:rPr>
        <w:rFonts w:ascii="Arial" w:hAnsi="Arial"/>
        <w:i/>
        <w:color w:val="5e2201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2201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74570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745700" w:themeColor="accent5" w:themeShade="95"/>
        <w:sz w:val="22"/>
      </w:rPr>
    </w:tblStylePr>
    <w:tblStylePr w:type="firstCol">
      <w:rPr>
        <w:rFonts w:ascii="Arial" w:hAnsi="Arial"/>
        <w:i/>
        <w:color w:val="745700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5700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741111" w:themeColor="accent6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741111" w:themeColor="accent6" w:themeShade="95"/>
        <w:sz w:val="22"/>
      </w:rPr>
    </w:tblStylePr>
    <w:tblStylePr w:type="firstCol">
      <w:rPr>
        <w:rFonts w:ascii="Arial" w:hAnsi="Arial"/>
        <w:i/>
        <w:color w:val="741111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111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6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7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8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9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0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1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2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a7a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fd042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96e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blStylePr w:type="band1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6b8fb" w:themeFill="accent2" w:themeFillTint="97"/>
    </w:tblPr>
    <w:tblStylePr w:type="band1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36b8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a7a35" w:themeFill="accent3" w:themeFillTint="98"/>
    </w:tblPr>
    <w:tblStylePr w:type="band1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a7a35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a7a35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c33fa" w:themeFill="accent4" w:themeFillTint="9A"/>
    </w:tblPr>
    <w:tblStylePr w:type="band1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c33fa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042" w:themeFill="accent5" w:themeFillTint="9A"/>
    </w:tblPr>
    <w:tblStylePr w:type="band1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fd042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fd042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6e6e" w:themeFill="accent6" w:themeFillTint="98"/>
    </w:tblPr>
    <w:tblStylePr w:type="band1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e96e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e96e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4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e5e01" w:themeColor="accent1" w:themeShade="95"/>
      </w:rPr>
    </w:tblStylePr>
    <w:tblStylePr w:type="firstRow">
      <w:rPr>
        <w:b/>
        <w:color w:val="0e5e0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</w:tblStylePr>
    <w:tblStylePr w:type="lastRow">
      <w:rPr>
        <w:b/>
        <w:color w:val="0e5e0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5">
    <w:name w:val="List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b3b04" w:themeColor="accent3" w:themeTint="98" w:themeShade="95"/>
      </w:rPr>
    </w:tblStylePr>
    <w:tblStylePr w:type="firstRow">
      <w:rPr>
        <w:b/>
        <w:color w:val="ab3b04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b3b04" w:themeColor="accent3" w:themeTint="98" w:themeShade="95"/>
      </w:rPr>
    </w:tblStylePr>
    <w:tblStylePr w:type="lastRow">
      <w:rPr>
        <w:b/>
        <w:color w:val="ab3b04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7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ba8700" w:themeColor="accent5" w:themeTint="9A" w:themeShade="95"/>
      </w:rPr>
    </w:tblStylePr>
    <w:tblStylePr w:type="firstRow">
      <w:rPr>
        <w:b/>
        <w:color w:val="ba870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a8700" w:themeColor="accent5" w:themeTint="9A" w:themeShade="95"/>
      </w:rPr>
    </w:tblStylePr>
    <w:tblStylePr w:type="lastRow">
      <w:rPr>
        <w:b/>
        <w:color w:val="ba870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9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ad1a1a" w:themeColor="accent6" w:themeTint="98" w:themeShade="95"/>
      </w:rPr>
    </w:tblStylePr>
    <w:tblStylePr w:type="firstRow">
      <w:rPr>
        <w:b/>
        <w:color w:val="ad1a1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d1a1a" w:themeColor="accent6" w:themeTint="98" w:themeShade="95"/>
      </w:rPr>
    </w:tblStylePr>
    <w:tblStylePr w:type="lastRow">
      <w:rPr>
        <w:b/>
        <w:color w:val="ad1a1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0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1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e5e01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0e5e01" w:themeColor="accent1" w:themeShade="95"/>
        <w:sz w:val="22"/>
      </w:rPr>
    </w:tblStylePr>
    <w:tblStylePr w:type="firstCol">
      <w:rPr>
        <w:rFonts w:ascii="Arial" w:hAnsi="Arial"/>
        <w:i/>
        <w:color w:val="0e5e0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e5e0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e5e01" w:themeColor="accent1" w:themeShade="95"/>
        <w:sz w:val="22"/>
      </w:rPr>
    </w:tblStylePr>
  </w:style>
  <w:style w:type="table" w:styleId="772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0378ae" w:themeColor="accent2" w:themeTint="97" w:themeShade="95"/>
        <w:sz w:val="22"/>
      </w:rPr>
    </w:tblStylePr>
  </w:style>
  <w:style w:type="table" w:styleId="773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b3b04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ab3b04" w:themeColor="accent3" w:themeTint="98" w:themeShade="95"/>
        <w:sz w:val="22"/>
      </w:rPr>
    </w:tblStylePr>
    <w:tblStylePr w:type="firstCol">
      <w:rPr>
        <w:rFonts w:ascii="Arial" w:hAnsi="Arial"/>
        <w:i/>
        <w:color w:val="ab3b04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3b04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b3b04" w:themeColor="accent3" w:themeTint="98" w:themeShade="95"/>
        <w:sz w:val="22"/>
      </w:rPr>
    </w:tblStylePr>
  </w:style>
  <w:style w:type="table" w:styleId="774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104ab" w:themeColor="accent4" w:themeTint="9A" w:themeShade="95"/>
        <w:sz w:val="22"/>
      </w:rPr>
    </w:tblStylePr>
  </w:style>
  <w:style w:type="table" w:styleId="775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ba870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ba8700" w:themeColor="accent5" w:themeTint="9A" w:themeShade="95"/>
        <w:sz w:val="22"/>
      </w:rPr>
    </w:tblStylePr>
    <w:tblStylePr w:type="firstCol">
      <w:rPr>
        <w:rFonts w:ascii="Arial" w:hAnsi="Arial"/>
        <w:i/>
        <w:color w:val="ba870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a870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ba8700" w:themeColor="accent5" w:themeTint="9A" w:themeShade="95"/>
        <w:sz w:val="22"/>
      </w:rPr>
    </w:tblStylePr>
  </w:style>
  <w:style w:type="table" w:styleId="776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ad1a1a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ad1a1a" w:themeColor="accent6" w:themeTint="98" w:themeShade="95"/>
        <w:sz w:val="22"/>
      </w:rPr>
    </w:tblStylePr>
    <w:tblStylePr w:type="firstCol">
      <w:rPr>
        <w:rFonts w:ascii="Arial" w:hAnsi="Arial"/>
        <w:i/>
        <w:color w:val="ad1a1a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d1a1a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ad1a1a" w:themeColor="accent6" w:themeTint="98" w:themeShade="95"/>
        <w:sz w:val="22"/>
      </w:rPr>
    </w:tblStylePr>
  </w:style>
  <w:style w:type="table" w:styleId="777">
    <w:name w:val="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8">
    <w:name w:val="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779">
    <w:name w:val="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780">
    <w:name w:val="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781">
    <w:name w:val="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782">
    <w:name w:val="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783">
    <w:name w:val="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784">
    <w:name w:val="Bordered &amp; 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Bordered &amp; 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786">
    <w:name w:val="Bordered &amp; 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787">
    <w:name w:val="Bordered &amp; 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788">
    <w:name w:val="Bordered &amp; 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789">
    <w:name w:val="Bordered &amp; 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790">
    <w:name w:val="Bordered &amp; 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791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2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3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4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5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6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7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8">
    <w:name w:val="footnote text"/>
    <w:basedOn w:val="815"/>
    <w:link w:val="799"/>
    <w:uiPriority w:val="99"/>
    <w:semiHidden/>
    <w:unhideWhenUsed/>
    <w:pPr>
      <w:spacing w:after="40" w:line="240" w:lineRule="auto"/>
    </w:pPr>
    <w:rPr>
      <w:sz w:val="18"/>
    </w:rPr>
  </w:style>
  <w:style w:type="character" w:styleId="799">
    <w:name w:val="Footnote Text Char"/>
    <w:link w:val="798"/>
    <w:uiPriority w:val="99"/>
    <w:rPr>
      <w:sz w:val="18"/>
    </w:rPr>
  </w:style>
  <w:style w:type="character" w:styleId="800">
    <w:name w:val="footnote reference"/>
    <w:basedOn w:val="818"/>
    <w:uiPriority w:val="99"/>
    <w:unhideWhenUsed/>
    <w:rPr>
      <w:vertAlign w:val="superscript"/>
    </w:rPr>
  </w:style>
  <w:style w:type="paragraph" w:styleId="801">
    <w:name w:val="endnote text"/>
    <w:basedOn w:val="815"/>
    <w:link w:val="802"/>
    <w:uiPriority w:val="99"/>
    <w:semiHidden/>
    <w:unhideWhenUsed/>
    <w:pPr>
      <w:spacing w:after="0" w:line="240" w:lineRule="auto"/>
    </w:pPr>
    <w:rPr>
      <w:sz w:val="20"/>
    </w:rPr>
  </w:style>
  <w:style w:type="character" w:styleId="802">
    <w:name w:val="Endnote Text Char"/>
    <w:link w:val="801"/>
    <w:uiPriority w:val="99"/>
    <w:rPr>
      <w:sz w:val="20"/>
    </w:rPr>
  </w:style>
  <w:style w:type="character" w:styleId="803">
    <w:name w:val="endnote reference"/>
    <w:basedOn w:val="818"/>
    <w:uiPriority w:val="99"/>
    <w:semiHidden/>
    <w:unhideWhenUsed/>
    <w:rPr>
      <w:vertAlign w:val="superscript"/>
    </w:rPr>
  </w:style>
  <w:style w:type="paragraph" w:styleId="804">
    <w:name w:val="toc 1"/>
    <w:basedOn w:val="815"/>
    <w:next w:val="815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5"/>
    <w:next w:val="815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5"/>
    <w:next w:val="815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5"/>
    <w:next w:val="815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5"/>
    <w:next w:val="815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5"/>
    <w:next w:val="815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5"/>
    <w:next w:val="815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5"/>
    <w:next w:val="815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5"/>
    <w:next w:val="815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>
    <w:name w:val="table of figures"/>
    <w:basedOn w:val="815"/>
    <w:next w:val="815"/>
    <w:uiPriority w:val="99"/>
    <w:unhideWhenUsed/>
    <w:pPr>
      <w:spacing w:after="0" w:afterAutospacing="0"/>
    </w:pPr>
  </w:style>
  <w:style w:type="paragraph" w:styleId="815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816">
    <w:name w:val="Heading 1"/>
    <w:basedOn w:val="815"/>
    <w:next w:val="815"/>
    <w:qFormat/>
    <w:pPr>
      <w:numPr>
        <w:numId w:val="1"/>
      </w:numPr>
      <w:jc w:val="center"/>
      <w:keepNext/>
      <w:outlineLvl w:val="0"/>
    </w:pPr>
    <w:rPr>
      <w:b/>
      <w:bCs/>
    </w:rPr>
  </w:style>
  <w:style w:type="paragraph" w:styleId="817">
    <w:name w:val="Heading 2"/>
    <w:basedOn w:val="815"/>
    <w:next w:val="815"/>
    <w:qFormat/>
    <w:pPr>
      <w:numPr>
        <w:ilvl w:val="1"/>
        <w:numId w:val="1"/>
      </w:numPr>
      <w:jc w:val="center"/>
      <w:keepNext/>
      <w:outlineLvl w:val="1"/>
    </w:pPr>
    <w:rPr>
      <w:b/>
      <w:bCs/>
      <w:sz w:val="28"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WW8Num2z0"/>
    <w:qFormat/>
    <w:rPr>
      <w:rFonts w:ascii="Symbol" w:hAnsi="Symbol" w:cs="Symbol"/>
    </w:rPr>
  </w:style>
  <w:style w:type="character" w:styleId="822" w:customStyle="1">
    <w:name w:val="WW8Num2z1"/>
    <w:qFormat/>
    <w:rPr>
      <w:rFonts w:ascii="Courier New" w:hAnsi="Courier New" w:cs="Courier New"/>
    </w:rPr>
  </w:style>
  <w:style w:type="character" w:styleId="823" w:customStyle="1">
    <w:name w:val="WW8Num2z2"/>
    <w:qFormat/>
    <w:rPr>
      <w:rFonts w:ascii="Wingdings" w:hAnsi="Wingdings" w:cs="Wingdings"/>
    </w:rPr>
  </w:style>
  <w:style w:type="character" w:styleId="824" w:customStyle="1">
    <w:name w:val="WW8Num3z0"/>
    <w:qFormat/>
    <w:rPr>
      <w:sz w:val="28"/>
    </w:rPr>
  </w:style>
  <w:style w:type="character" w:styleId="825" w:customStyle="1">
    <w:name w:val="WW8Num5z0"/>
    <w:qFormat/>
    <w:rPr>
      <w:rFonts w:ascii="Symbol" w:hAnsi="Symbol" w:cs="Symbol"/>
    </w:rPr>
  </w:style>
  <w:style w:type="character" w:styleId="826" w:customStyle="1">
    <w:name w:val="WW8Num5z1"/>
    <w:qFormat/>
    <w:rPr>
      <w:rFonts w:ascii="Courier New" w:hAnsi="Courier New" w:cs="Courier New"/>
    </w:rPr>
  </w:style>
  <w:style w:type="character" w:styleId="827" w:customStyle="1">
    <w:name w:val="WW8Num5z2"/>
    <w:qFormat/>
    <w:rPr>
      <w:rFonts w:ascii="Wingdings" w:hAnsi="Wingdings" w:cs="Wingdings"/>
    </w:rPr>
  </w:style>
  <w:style w:type="character" w:styleId="828" w:customStyle="1">
    <w:name w:val="WW8Num6z0"/>
    <w:qFormat/>
    <w:rPr>
      <w:sz w:val="28"/>
    </w:rPr>
  </w:style>
  <w:style w:type="character" w:styleId="829" w:customStyle="1">
    <w:name w:val="WW8Num7z0"/>
    <w:qFormat/>
    <w:rPr>
      <w:rFonts w:ascii="Symbol" w:hAnsi="Symbol" w:cs="Symbol"/>
    </w:rPr>
  </w:style>
  <w:style w:type="character" w:styleId="830" w:customStyle="1">
    <w:name w:val="WW8Num7z1"/>
    <w:qFormat/>
    <w:rPr>
      <w:rFonts w:ascii="Courier New" w:hAnsi="Courier New" w:cs="Courier New"/>
    </w:rPr>
  </w:style>
  <w:style w:type="character" w:styleId="831" w:customStyle="1">
    <w:name w:val="WW8Num7z2"/>
    <w:qFormat/>
    <w:rPr>
      <w:rFonts w:ascii="Wingdings" w:hAnsi="Wingdings" w:cs="Wingdings"/>
    </w:rPr>
  </w:style>
  <w:style w:type="character" w:styleId="832" w:customStyle="1">
    <w:name w:val="WW8Num8z0"/>
    <w:qFormat/>
  </w:style>
  <w:style w:type="character" w:styleId="833" w:customStyle="1">
    <w:name w:val="WW8Num1z0"/>
    <w:qFormat/>
  </w:style>
  <w:style w:type="character" w:styleId="834" w:customStyle="1">
    <w:name w:val="WW8Num1z1"/>
    <w:qFormat/>
  </w:style>
  <w:style w:type="character" w:styleId="835" w:customStyle="1">
    <w:name w:val="WW8Num1z2"/>
    <w:qFormat/>
  </w:style>
  <w:style w:type="character" w:styleId="836" w:customStyle="1">
    <w:name w:val="WW8Num1z3"/>
    <w:qFormat/>
  </w:style>
  <w:style w:type="character" w:styleId="837" w:customStyle="1">
    <w:name w:val="WW8Num1z4"/>
    <w:qFormat/>
  </w:style>
  <w:style w:type="character" w:styleId="838" w:customStyle="1">
    <w:name w:val="WW8Num1z5"/>
    <w:qFormat/>
  </w:style>
  <w:style w:type="character" w:styleId="839" w:customStyle="1">
    <w:name w:val="WW8Num1z6"/>
    <w:qFormat/>
  </w:style>
  <w:style w:type="character" w:styleId="840" w:customStyle="1">
    <w:name w:val="WW8Num1z7"/>
    <w:qFormat/>
  </w:style>
  <w:style w:type="character" w:styleId="841" w:customStyle="1">
    <w:name w:val="WW8Num1z8"/>
    <w:qFormat/>
  </w:style>
  <w:style w:type="character" w:styleId="842" w:customStyle="1">
    <w:name w:val="Основной шрифт абзаца1"/>
    <w:qFormat/>
  </w:style>
  <w:style w:type="character" w:styleId="843">
    <w:name w:val="Hyperlink"/>
    <w:rPr>
      <w:color w:val="0000ff"/>
      <w:u w:val="single"/>
    </w:rPr>
  </w:style>
  <w:style w:type="character" w:styleId="844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45">
    <w:name w:val="Title"/>
    <w:basedOn w:val="815"/>
    <w:next w:val="84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46">
    <w:name w:val="Body Text"/>
    <w:basedOn w:val="815"/>
    <w:pPr>
      <w:jc w:val="both"/>
    </w:pPr>
  </w:style>
  <w:style w:type="paragraph" w:styleId="847">
    <w:name w:val="List"/>
    <w:basedOn w:val="846"/>
    <w:rPr>
      <w:rFonts w:ascii="PT Astra Serif;Times New Roman" w:hAnsi="PT Astra Serif;Times New Roman" w:cs="Noto Sans Devanagari;Times New"/>
    </w:rPr>
  </w:style>
  <w:style w:type="paragraph" w:styleId="848">
    <w:name w:val="Caption"/>
    <w:basedOn w:val="815"/>
    <w:qFormat/>
    <w:pPr>
      <w:spacing w:before="120" w:after="120"/>
      <w:suppressLineNumbers/>
    </w:pPr>
    <w:rPr>
      <w:rFonts w:ascii="PT Astra Serif;Times New Roman" w:hAnsi="PT Astra Serif;Times New Roman" w:cs="Noto Sans Devanagari;Times New"/>
      <w:i/>
      <w:iCs/>
    </w:rPr>
  </w:style>
  <w:style w:type="paragraph" w:styleId="849">
    <w:name w:val="index heading"/>
    <w:basedOn w:val="815"/>
    <w:qFormat/>
    <w:pPr>
      <w:suppressLineNumbers/>
    </w:pPr>
    <w:rPr>
      <w:rFonts w:cs="Lohit Devanagari"/>
    </w:rPr>
  </w:style>
  <w:style w:type="paragraph" w:styleId="850" w:customStyle="1">
    <w:name w:val="Заголовок1"/>
    <w:basedOn w:val="815"/>
    <w:next w:val="846"/>
    <w:qFormat/>
    <w:pPr>
      <w:keepNext/>
      <w:spacing w:before="240" w:after="120"/>
    </w:pPr>
    <w:rPr>
      <w:rFonts w:ascii="PT Astra Serif;Times New Roman" w:hAnsi="PT Astra Serif;Times New Roman" w:eastAsia="Tahoma" w:cs="Noto Sans Devanagari;Times New"/>
      <w:sz w:val="28"/>
      <w:szCs w:val="28"/>
    </w:rPr>
  </w:style>
  <w:style w:type="paragraph" w:styleId="851" w:customStyle="1">
    <w:name w:val="Указатель1"/>
    <w:basedOn w:val="815"/>
    <w:qFormat/>
    <w:pPr>
      <w:suppressLineNumbers/>
    </w:pPr>
    <w:rPr>
      <w:rFonts w:ascii="PT Astra Serif;Times New Roman" w:hAnsi="PT Astra Serif;Times New Roman" w:cs="Noto Sans Devanagari;Times New"/>
    </w:rPr>
  </w:style>
  <w:style w:type="paragraph" w:styleId="852">
    <w:name w:val="Balloon Text"/>
    <w:basedOn w:val="815"/>
    <w:qFormat/>
    <w:rPr>
      <w:rFonts w:ascii="Segoe UI" w:hAnsi="Segoe UI" w:cs="Segoe UI"/>
      <w:sz w:val="18"/>
      <w:szCs w:val="18"/>
    </w:rPr>
  </w:style>
  <w:style w:type="paragraph" w:styleId="853" w:customStyle="1">
    <w:name w:val="Содержимое таблицы"/>
    <w:basedOn w:val="815"/>
    <w:qFormat/>
    <w:pPr>
      <w:widowControl w:val="off"/>
      <w:suppressLineNumbers/>
    </w:pPr>
  </w:style>
  <w:style w:type="paragraph" w:styleId="854" w:customStyle="1">
    <w:name w:val="Заголовок таблицы"/>
    <w:basedOn w:val="853"/>
    <w:qFormat/>
    <w:pPr>
      <w:jc w:val="center"/>
    </w:pPr>
    <w:rPr>
      <w:b/>
      <w:bCs/>
    </w:rPr>
  </w:style>
  <w:style w:type="numbering" w:styleId="855" w:customStyle="1">
    <w:name w:val="WW8Num1"/>
    <w:qFormat/>
  </w:style>
  <w:style w:type="numbering" w:styleId="856" w:customStyle="1">
    <w:name w:val="WW8Num2"/>
    <w:qFormat/>
  </w:style>
  <w:style w:type="numbering" w:styleId="857" w:customStyle="1">
    <w:name w:val="WW8Num3"/>
    <w:qFormat/>
  </w:style>
  <w:style w:type="numbering" w:styleId="858" w:customStyle="1">
    <w:name w:val="WW8Num4"/>
    <w:qFormat/>
  </w:style>
  <w:style w:type="numbering" w:styleId="859" w:customStyle="1">
    <w:name w:val="WW8Num5"/>
    <w:qFormat/>
  </w:style>
  <w:style w:type="numbering" w:styleId="860" w:customStyle="1">
    <w:name w:val="WW8Num6"/>
    <w:qFormat/>
  </w:style>
  <w:style w:type="numbering" w:styleId="861" w:customStyle="1">
    <w:name w:val="WW8Num7"/>
    <w:qFormat/>
  </w:style>
  <w:style w:type="numbering" w:styleId="862" w:customStyle="1">
    <w:name w:val="WW8Num8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Vadim</dc:creator>
  <dc:description/>
  <dc:language>ru-RU</dc:language>
  <cp:revision>25</cp:revision>
  <dcterms:created xsi:type="dcterms:W3CDTF">2024-09-23T09:18:00Z</dcterms:created>
  <dcterms:modified xsi:type="dcterms:W3CDTF">2024-10-10T05:30:57Z</dcterms:modified>
</cp:coreProperties>
</file>